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A5" w:rsidRPr="003E5AA5" w:rsidRDefault="003E5AA5">
      <w:pPr>
        <w:rPr>
          <w:b/>
          <w:color w:val="000000"/>
          <w:szCs w:val="24"/>
          <w:u w:val="single"/>
        </w:rPr>
      </w:pPr>
      <w:r w:rsidRPr="003E5AA5">
        <w:rPr>
          <w:b/>
          <w:color w:val="000000"/>
          <w:szCs w:val="24"/>
          <w:u w:val="single"/>
        </w:rPr>
        <w:t>NATIONAL HRH POLICY 2006</w:t>
      </w:r>
    </w:p>
    <w:p w:rsidR="003E5AA5" w:rsidRDefault="003E5AA5">
      <w:pPr>
        <w:rPr>
          <w:color w:val="000000"/>
          <w:szCs w:val="24"/>
        </w:rPr>
      </w:pPr>
    </w:p>
    <w:p w:rsidR="003E5AA5" w:rsidRDefault="003E5AA5">
      <w:pPr>
        <w:rPr>
          <w:color w:val="000000"/>
          <w:szCs w:val="24"/>
        </w:rPr>
      </w:pPr>
    </w:p>
    <w:p w:rsidR="003E5AA5" w:rsidRPr="003E5AA5" w:rsidRDefault="003E5AA5">
      <w:pPr>
        <w:rPr>
          <w:color w:val="000000"/>
          <w:szCs w:val="24"/>
        </w:rPr>
      </w:pPr>
    </w:p>
    <w:p w:rsidR="00F86346" w:rsidRPr="003E5AA5" w:rsidRDefault="006E36A3">
      <w:pPr>
        <w:rPr>
          <w:color w:val="000000"/>
          <w:szCs w:val="24"/>
        </w:rPr>
      </w:pPr>
      <w:r w:rsidRPr="003E5AA5">
        <w:rPr>
          <w:color w:val="000000"/>
          <w:szCs w:val="24"/>
        </w:rPr>
        <w:t>WHO (2006) defines Human Resources for Health as “those who promote and preserve health as well as those who diagnose and treat diseases.</w:t>
      </w:r>
    </w:p>
    <w:p w:rsidR="006E36A3" w:rsidRPr="003E5AA5" w:rsidRDefault="006E36A3">
      <w:pPr>
        <w:rPr>
          <w:color w:val="000000"/>
          <w:szCs w:val="24"/>
        </w:rPr>
      </w:pPr>
      <w:r w:rsidRPr="003E5AA5">
        <w:rPr>
          <w:color w:val="000000"/>
          <w:szCs w:val="24"/>
        </w:rPr>
        <w:t>Human resources are the heartbeat of health service delivery. This is evidenced by the fact that health worker numbers and quality are positively associated with immunization coverage, increased outreach of primary care, and infant, child and maternal survival.</w:t>
      </w:r>
    </w:p>
    <w:p w:rsidR="006E36A3" w:rsidRPr="003E5AA5" w:rsidRDefault="006E36A3" w:rsidP="003E5AA5">
      <w:pPr>
        <w:autoSpaceDE w:val="0"/>
        <w:autoSpaceDN w:val="0"/>
        <w:adjustRightInd w:val="0"/>
        <w:spacing w:after="0" w:line="240" w:lineRule="auto"/>
        <w:ind w:hanging="720"/>
        <w:jc w:val="both"/>
        <w:rPr>
          <w:rFonts w:cs="Arial"/>
          <w:szCs w:val="24"/>
          <w:lang w:val="en-US"/>
        </w:rPr>
      </w:pPr>
      <w:r w:rsidRPr="003E5AA5">
        <w:rPr>
          <w:rFonts w:cs="Arial"/>
          <w:color w:val="000000"/>
          <w:szCs w:val="24"/>
          <w:lang w:val="en-US"/>
        </w:rPr>
        <w:t xml:space="preserve">Factors often cited by health professionals especially from the public sector for migrating </w:t>
      </w:r>
      <w:r w:rsidRPr="003E5AA5">
        <w:rPr>
          <w:rFonts w:cs="Arial"/>
          <w:szCs w:val="24"/>
          <w:lang w:val="en-US"/>
        </w:rPr>
        <w:t xml:space="preserve">or leaving their professions include: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I. Poor conditions of service and demoralizing work environments, non availability of relevant equipment and logistics, and lack of incentives for hard work,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II. Unclear career pathways and sometimes absence of, or inadequate career counseling facilities thus making staff take career decisions that may not meet their aspirations.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III. Delays in promotion, poor placement after training and inadequate opportunities for professional advancement.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IV. Many African countries have civil service rules that make health professionals feel that management positions are more rewarding and prestigious than progressing along the health professional lines.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V. Inadequate HR planning at the various levels and this is compounded by the non-availability of reliable, complete and up to date information on staff for decisions making.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VI. Staff distribution in many developing countries is skewed towards urban areas because the development agenda of governments do not create platforms for equitable distribution of social amenities.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VII. </w:t>
      </w:r>
      <w:proofErr w:type="gramStart"/>
      <w:r w:rsidRPr="003E5AA5">
        <w:rPr>
          <w:rFonts w:cs="Arial"/>
          <w:szCs w:val="24"/>
          <w:lang w:val="en-US"/>
        </w:rPr>
        <w:t>In</w:t>
      </w:r>
      <w:proofErr w:type="gramEnd"/>
      <w:r w:rsidRPr="003E5AA5">
        <w:rPr>
          <w:rFonts w:cs="Arial"/>
          <w:szCs w:val="24"/>
          <w:lang w:val="en-US"/>
        </w:rPr>
        <w:t xml:space="preserve"> Nigeria, mal-distribution between states is fuelled largely by variations in hiring arrangements as health professionals move from one locations to the other. Hiring arrangements in some states do not </w:t>
      </w:r>
      <w:proofErr w:type="spellStart"/>
      <w:r w:rsidRPr="003E5AA5">
        <w:rPr>
          <w:rFonts w:cs="Arial"/>
          <w:szCs w:val="24"/>
          <w:lang w:val="en-US"/>
        </w:rPr>
        <w:t>favour</w:t>
      </w:r>
      <w:proofErr w:type="spellEnd"/>
      <w:r w:rsidRPr="003E5AA5">
        <w:rPr>
          <w:rFonts w:cs="Arial"/>
          <w:szCs w:val="24"/>
          <w:lang w:val="en-US"/>
        </w:rPr>
        <w:t xml:space="preserve"> non-indigenes.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VIII. </w:t>
      </w:r>
      <w:proofErr w:type="spellStart"/>
      <w:r w:rsidRPr="003E5AA5">
        <w:rPr>
          <w:rFonts w:cs="Arial"/>
          <w:szCs w:val="24"/>
          <w:lang w:val="en-US"/>
        </w:rPr>
        <w:t>Mobilisation</w:t>
      </w:r>
      <w:proofErr w:type="spellEnd"/>
      <w:r w:rsidRPr="003E5AA5">
        <w:rPr>
          <w:rFonts w:cs="Arial"/>
          <w:szCs w:val="24"/>
          <w:lang w:val="en-US"/>
        </w:rPr>
        <w:t xml:space="preserve">, allocation, and </w:t>
      </w:r>
      <w:proofErr w:type="spellStart"/>
      <w:r w:rsidRPr="003E5AA5">
        <w:rPr>
          <w:rFonts w:cs="Arial"/>
          <w:szCs w:val="24"/>
          <w:lang w:val="en-US"/>
        </w:rPr>
        <w:t>utilisation</w:t>
      </w:r>
      <w:proofErr w:type="spellEnd"/>
      <w:r w:rsidRPr="003E5AA5">
        <w:rPr>
          <w:rFonts w:cs="Arial"/>
          <w:szCs w:val="24"/>
          <w:lang w:val="en-US"/>
        </w:rPr>
        <w:t xml:space="preserve"> of health resources are fragmented among different players. In the Nigerian context, activities of private sector health providers are poorly coordinated. This affects staff development and utilization. </w:t>
      </w:r>
    </w:p>
    <w:p w:rsidR="006E36A3" w:rsidRPr="003E5AA5" w:rsidRDefault="006E36A3" w:rsidP="006E36A3">
      <w:pPr>
        <w:autoSpaceDE w:val="0"/>
        <w:autoSpaceDN w:val="0"/>
        <w:adjustRightInd w:val="0"/>
        <w:spacing w:after="0" w:line="240" w:lineRule="auto"/>
        <w:ind w:left="540" w:hanging="180"/>
        <w:jc w:val="both"/>
        <w:rPr>
          <w:rFonts w:cs="Arial"/>
          <w:szCs w:val="24"/>
          <w:lang w:val="en-US"/>
        </w:rPr>
      </w:pPr>
      <w:r w:rsidRPr="003E5AA5">
        <w:rPr>
          <w:rFonts w:cs="Arial"/>
          <w:szCs w:val="24"/>
          <w:lang w:val="en-US"/>
        </w:rPr>
        <w:t xml:space="preserve">IX. There are no standards to guide staffing and their utilization for both the private and public sector. Whilst worker productivity in the public health sector is very low, many private sector health practices on the other hand suffer from poor work quality because of commercial pressures. </w:t>
      </w:r>
    </w:p>
    <w:p w:rsidR="006E36A3" w:rsidRPr="003E5AA5" w:rsidRDefault="006E36A3">
      <w:pPr>
        <w:rPr>
          <w:szCs w:val="24"/>
        </w:rPr>
      </w:pPr>
    </w:p>
    <w:p w:rsidR="006E36A3" w:rsidRPr="003E5AA5" w:rsidRDefault="006E36A3">
      <w:pPr>
        <w:rPr>
          <w:color w:val="000000"/>
          <w:szCs w:val="24"/>
        </w:rPr>
      </w:pPr>
      <w:r w:rsidRPr="003E5AA5">
        <w:rPr>
          <w:color w:val="000000"/>
          <w:szCs w:val="24"/>
        </w:rPr>
        <w:t xml:space="preserve">The figures presented in Table 2.1 are for some health professional categories registered by Nigeria’s professional medical/health regulatory bodies as in 2006. They </w:t>
      </w:r>
      <w:r w:rsidRPr="003E5AA5">
        <w:rPr>
          <w:color w:val="000000"/>
          <w:szCs w:val="24"/>
        </w:rPr>
        <w:lastRenderedPageBreak/>
        <w:t>include health workers in both the private and public health sectors, and, very likely, health professionals who are not practising in the country or may not be practising health care at all.</w:t>
      </w:r>
    </w:p>
    <w:p w:rsidR="006E36A3" w:rsidRPr="003E5AA5" w:rsidRDefault="006E36A3">
      <w:pPr>
        <w:rPr>
          <w:color w:val="000000"/>
          <w:szCs w:val="24"/>
        </w:rPr>
      </w:pPr>
    </w:p>
    <w:p w:rsidR="006E36A3" w:rsidRPr="003E5AA5" w:rsidRDefault="006E36A3" w:rsidP="006E36A3">
      <w:pPr>
        <w:pStyle w:val="Heading2"/>
        <w:rPr>
          <w:color w:val="000000"/>
        </w:rPr>
      </w:pPr>
      <w:proofErr w:type="gramStart"/>
      <w:r w:rsidRPr="003E5AA5">
        <w:rPr>
          <w:b/>
          <w:bCs/>
          <w:color w:val="000000"/>
        </w:rPr>
        <w:t>Table 2.1.</w:t>
      </w:r>
      <w:proofErr w:type="gramEnd"/>
      <w:r w:rsidRPr="003E5AA5">
        <w:rPr>
          <w:b/>
          <w:bCs/>
          <w:color w:val="000000"/>
        </w:rPr>
        <w:t xml:space="preserve"> Number of some Categories of Health Workers in Nigeria 2006 </w:t>
      </w:r>
    </w:p>
    <w:tbl>
      <w:tblPr>
        <w:tblW w:w="0" w:type="auto"/>
        <w:tblInd w:w="180" w:type="dxa"/>
        <w:tblBorders>
          <w:top w:val="nil"/>
          <w:left w:val="nil"/>
          <w:bottom w:val="nil"/>
          <w:right w:val="nil"/>
        </w:tblBorders>
        <w:tblLayout w:type="fixed"/>
        <w:tblLook w:val="0000"/>
      </w:tblPr>
      <w:tblGrid>
        <w:gridCol w:w="4868"/>
        <w:gridCol w:w="2488"/>
        <w:gridCol w:w="1662"/>
      </w:tblGrid>
      <w:tr w:rsidR="006E36A3" w:rsidRPr="003E5AA5" w:rsidTr="003E5AA5">
        <w:tblPrEx>
          <w:tblCellMar>
            <w:top w:w="0" w:type="dxa"/>
            <w:bottom w:w="0" w:type="dxa"/>
          </w:tblCellMar>
        </w:tblPrEx>
        <w:trPr>
          <w:trHeight w:val="278"/>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b/>
                <w:bCs/>
                <w:color w:val="000000"/>
              </w:rPr>
              <w:t xml:space="preserve">Staff Type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b/>
                <w:bCs/>
                <w:color w:val="000000"/>
              </w:rPr>
              <w:t xml:space="preserve">Number of Staff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b/>
                <w:bCs/>
                <w:color w:val="000000"/>
              </w:rPr>
              <w:t xml:space="preserve">No. of Staff/100,000 population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Doctors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39,210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30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Nurses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124,629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100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Midwives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88796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68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Dentists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2,773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2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Pharmacists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12,072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11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rPr>
                <w:color w:val="000000"/>
              </w:rPr>
            </w:pPr>
            <w:r w:rsidRPr="003E5AA5">
              <w:rPr>
                <w:color w:val="000000"/>
              </w:rPr>
              <w:t xml:space="preserve">Medical Lab. Scientists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12,860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12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rPr>
                <w:color w:val="000000"/>
              </w:rPr>
            </w:pPr>
            <w:r w:rsidRPr="003E5AA5">
              <w:rPr>
                <w:color w:val="000000"/>
              </w:rPr>
              <w:t xml:space="preserve">Community Health Practitioners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117,568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19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rPr>
                <w:color w:val="000000"/>
              </w:rPr>
            </w:pPr>
            <w:r w:rsidRPr="003E5AA5">
              <w:rPr>
                <w:color w:val="000000"/>
              </w:rPr>
              <w:t xml:space="preserve">Physiotherapists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769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0.62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rPr>
                <w:color w:val="000000"/>
              </w:rPr>
            </w:pPr>
            <w:r w:rsidRPr="003E5AA5">
              <w:rPr>
                <w:color w:val="000000"/>
              </w:rPr>
              <w:t xml:space="preserve">Radiographers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519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0.42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rPr>
                <w:color w:val="000000"/>
              </w:rPr>
            </w:pPr>
            <w:r w:rsidRPr="003E5AA5">
              <w:rPr>
                <w:color w:val="000000"/>
              </w:rPr>
              <w:t xml:space="preserve">Health Record Officers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820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0.66 </w:t>
            </w:r>
          </w:p>
        </w:tc>
      </w:tr>
      <w:tr w:rsidR="006E36A3" w:rsidRPr="003E5AA5" w:rsidTr="003E5AA5">
        <w:tblPrEx>
          <w:tblCellMar>
            <w:top w:w="0" w:type="dxa"/>
            <w:bottom w:w="0" w:type="dxa"/>
          </w:tblCellMar>
        </w:tblPrEx>
        <w:trPr>
          <w:trHeight w:val="146"/>
        </w:trPr>
        <w:tc>
          <w:tcPr>
            <w:tcW w:w="486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rPr>
                <w:color w:val="000000"/>
              </w:rPr>
            </w:pPr>
            <w:r w:rsidRPr="003E5AA5">
              <w:rPr>
                <w:color w:val="000000"/>
              </w:rPr>
              <w:t xml:space="preserve">Environmental Health Officers </w:t>
            </w:r>
          </w:p>
        </w:tc>
        <w:tc>
          <w:tcPr>
            <w:tcW w:w="2488"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3441 </w:t>
            </w:r>
          </w:p>
        </w:tc>
        <w:tc>
          <w:tcPr>
            <w:tcW w:w="1662" w:type="dxa"/>
            <w:tcBorders>
              <w:top w:val="single" w:sz="4" w:space="0" w:color="000000"/>
              <w:left w:val="single" w:sz="4" w:space="0" w:color="000000"/>
              <w:bottom w:val="single" w:sz="4" w:space="0" w:color="000000"/>
              <w:right w:val="single" w:sz="4" w:space="0" w:color="000000"/>
            </w:tcBorders>
          </w:tcPr>
          <w:p w:rsidR="006E36A3" w:rsidRPr="003E5AA5" w:rsidRDefault="006E36A3">
            <w:pPr>
              <w:pStyle w:val="BodyTextIndent"/>
              <w:spacing w:after="120"/>
              <w:jc w:val="both"/>
              <w:rPr>
                <w:color w:val="000000"/>
              </w:rPr>
            </w:pPr>
            <w:r w:rsidRPr="003E5AA5">
              <w:rPr>
                <w:color w:val="000000"/>
              </w:rPr>
              <w:t xml:space="preserve">3 </w:t>
            </w:r>
          </w:p>
        </w:tc>
      </w:tr>
    </w:tbl>
    <w:p w:rsidR="006E36A3" w:rsidRPr="003E5AA5" w:rsidRDefault="006E36A3">
      <w:pPr>
        <w:rPr>
          <w:szCs w:val="24"/>
        </w:rPr>
      </w:pPr>
    </w:p>
    <w:p w:rsidR="006E36A3" w:rsidRPr="003E5AA5" w:rsidRDefault="006E36A3">
      <w:pPr>
        <w:rPr>
          <w:szCs w:val="24"/>
        </w:rPr>
      </w:pPr>
    </w:p>
    <w:p w:rsidR="006E36A3" w:rsidRPr="003E5AA5" w:rsidRDefault="006E36A3">
      <w:pPr>
        <w:rPr>
          <w:szCs w:val="24"/>
        </w:rPr>
      </w:pPr>
    </w:p>
    <w:p w:rsidR="006E36A3" w:rsidRPr="003E5AA5" w:rsidRDefault="006E36A3" w:rsidP="006E36A3">
      <w:pPr>
        <w:autoSpaceDE w:val="0"/>
        <w:autoSpaceDN w:val="0"/>
        <w:adjustRightInd w:val="0"/>
        <w:spacing w:after="0" w:line="240" w:lineRule="auto"/>
        <w:rPr>
          <w:rFonts w:cs="Arial"/>
          <w:color w:val="000000"/>
          <w:szCs w:val="24"/>
          <w:lang w:val="en-US"/>
        </w:rPr>
      </w:pPr>
    </w:p>
    <w:p w:rsidR="006E36A3" w:rsidRPr="003E5AA5" w:rsidRDefault="006E36A3" w:rsidP="006E36A3">
      <w:pPr>
        <w:autoSpaceDE w:val="0"/>
        <w:autoSpaceDN w:val="0"/>
        <w:adjustRightInd w:val="0"/>
        <w:spacing w:after="0" w:line="240" w:lineRule="auto"/>
        <w:ind w:left="720" w:hanging="720"/>
        <w:outlineLvl w:val="1"/>
        <w:rPr>
          <w:rFonts w:cs="Arial"/>
          <w:color w:val="000000"/>
          <w:szCs w:val="24"/>
          <w:lang w:val="en-US"/>
        </w:rPr>
      </w:pPr>
      <w:r w:rsidRPr="003E5AA5">
        <w:rPr>
          <w:rFonts w:cs="Arial"/>
          <w:b/>
          <w:bCs/>
          <w:color w:val="000000"/>
          <w:szCs w:val="24"/>
          <w:lang w:val="en-US"/>
        </w:rPr>
        <w:t xml:space="preserve">2.2 Staff Training </w:t>
      </w:r>
    </w:p>
    <w:p w:rsidR="006E36A3" w:rsidRPr="003E5AA5" w:rsidRDefault="006E36A3" w:rsidP="006E36A3">
      <w:pPr>
        <w:rPr>
          <w:rFonts w:cs="Arial"/>
          <w:color w:val="000000"/>
          <w:szCs w:val="24"/>
          <w:lang w:val="en-US"/>
        </w:rPr>
      </w:pPr>
      <w:r w:rsidRPr="003E5AA5">
        <w:rPr>
          <w:rFonts w:cs="Arial"/>
          <w:color w:val="000000"/>
          <w:szCs w:val="24"/>
          <w:lang w:val="en-US"/>
        </w:rPr>
        <w:t xml:space="preserve">There are 20 fully and 3 partially accredited medical schools spread throughout the country; about 5 additional ones have been proposed. About 33 states in the federation have approved nursing training schools, with some states having as many as 5. Some states do not have any midwifery training </w:t>
      </w:r>
      <w:proofErr w:type="spellStart"/>
      <w:r w:rsidRPr="003E5AA5">
        <w:rPr>
          <w:rFonts w:cs="Arial"/>
          <w:color w:val="000000"/>
          <w:szCs w:val="24"/>
          <w:lang w:val="en-US"/>
        </w:rPr>
        <w:t>instituteon</w:t>
      </w:r>
      <w:proofErr w:type="spellEnd"/>
    </w:p>
    <w:p w:rsidR="006E36A3" w:rsidRPr="003E5AA5" w:rsidRDefault="006E36A3" w:rsidP="006E36A3">
      <w:pPr>
        <w:autoSpaceDE w:val="0"/>
        <w:autoSpaceDN w:val="0"/>
        <w:adjustRightInd w:val="0"/>
        <w:spacing w:after="120" w:line="240" w:lineRule="auto"/>
        <w:jc w:val="both"/>
        <w:rPr>
          <w:rFonts w:cs="Arial"/>
          <w:color w:val="000000"/>
          <w:szCs w:val="24"/>
          <w:lang w:val="en-US"/>
        </w:rPr>
      </w:pPr>
      <w:r w:rsidRPr="003E5AA5">
        <w:rPr>
          <w:rFonts w:cs="Arial"/>
          <w:color w:val="000000"/>
          <w:szCs w:val="24"/>
          <w:lang w:val="en-US"/>
        </w:rPr>
        <w:t xml:space="preserve">Some states are better endowed with institutions that train various categories of health professionals than others. The less endowed states such as Jigawa and </w:t>
      </w:r>
      <w:proofErr w:type="spellStart"/>
      <w:r w:rsidRPr="003E5AA5">
        <w:rPr>
          <w:rFonts w:cs="Arial"/>
          <w:color w:val="000000"/>
          <w:szCs w:val="24"/>
          <w:lang w:val="en-US"/>
        </w:rPr>
        <w:t>Gombe</w:t>
      </w:r>
      <w:proofErr w:type="spellEnd"/>
      <w:r w:rsidRPr="003E5AA5">
        <w:rPr>
          <w:rFonts w:cs="Arial"/>
          <w:color w:val="000000"/>
          <w:szCs w:val="24"/>
          <w:lang w:val="en-US"/>
        </w:rPr>
        <w:t xml:space="preserve"> are disadvantaged in attracting adequate numbers of critically needed health professionals. Considering the large capital outlay required in setting up and </w:t>
      </w:r>
      <w:proofErr w:type="spellStart"/>
      <w:r w:rsidRPr="003E5AA5">
        <w:rPr>
          <w:rFonts w:cs="Arial"/>
          <w:color w:val="000000"/>
          <w:szCs w:val="24"/>
          <w:lang w:val="en-US"/>
        </w:rPr>
        <w:t>operationalising</w:t>
      </w:r>
      <w:proofErr w:type="spellEnd"/>
      <w:r w:rsidRPr="003E5AA5">
        <w:rPr>
          <w:rFonts w:cs="Arial"/>
          <w:color w:val="000000"/>
          <w:szCs w:val="24"/>
          <w:lang w:val="en-US"/>
        </w:rPr>
        <w:t xml:space="preserve"> training institutions, the short term solution should not be replication of </w:t>
      </w:r>
      <w:proofErr w:type="spellStart"/>
      <w:r w:rsidRPr="003E5AA5">
        <w:rPr>
          <w:rFonts w:cs="Arial"/>
          <w:color w:val="000000"/>
          <w:szCs w:val="24"/>
          <w:lang w:val="en-US"/>
        </w:rPr>
        <w:t>programmes</w:t>
      </w:r>
      <w:proofErr w:type="spellEnd"/>
      <w:r w:rsidRPr="003E5AA5">
        <w:rPr>
          <w:rFonts w:cs="Arial"/>
          <w:color w:val="000000"/>
          <w:szCs w:val="24"/>
          <w:lang w:val="en-US"/>
        </w:rPr>
        <w:t xml:space="preserve"> in all states. There is need for every state to regularly assess its critical human resources for health requirements, and rationalization of the use of existing training institutions, with </w:t>
      </w:r>
      <w:r w:rsidRPr="003E5AA5">
        <w:rPr>
          <w:rFonts w:cs="Arial"/>
          <w:color w:val="000000"/>
          <w:szCs w:val="24"/>
          <w:lang w:val="en-US"/>
        </w:rPr>
        <w:lastRenderedPageBreak/>
        <w:t xml:space="preserve">provision of adequate resources to enable them cater for clearly defined needs of clusters of states. </w:t>
      </w:r>
    </w:p>
    <w:p w:rsidR="006E36A3" w:rsidRPr="003E5AA5" w:rsidRDefault="006E36A3" w:rsidP="006E36A3">
      <w:pPr>
        <w:autoSpaceDE w:val="0"/>
        <w:autoSpaceDN w:val="0"/>
        <w:adjustRightInd w:val="0"/>
        <w:spacing w:after="120" w:line="240" w:lineRule="auto"/>
        <w:jc w:val="both"/>
        <w:rPr>
          <w:rFonts w:cs="Arial"/>
          <w:color w:val="000000"/>
          <w:szCs w:val="24"/>
          <w:lang w:val="en-US"/>
        </w:rPr>
      </w:pPr>
      <w:r w:rsidRPr="003E5AA5">
        <w:rPr>
          <w:rFonts w:cs="Arial"/>
          <w:color w:val="000000"/>
          <w:szCs w:val="24"/>
          <w:lang w:val="en-US"/>
        </w:rPr>
        <w:t xml:space="preserve">Government is the main financier of health training all over the country. </w:t>
      </w:r>
    </w:p>
    <w:p w:rsidR="006E36A3" w:rsidRPr="003E5AA5" w:rsidRDefault="006E36A3" w:rsidP="006E36A3">
      <w:pPr>
        <w:rPr>
          <w:rFonts w:cs="Arial"/>
          <w:color w:val="000000"/>
          <w:szCs w:val="24"/>
          <w:lang w:val="en-US"/>
        </w:rPr>
      </w:pPr>
      <w:r w:rsidRPr="003E5AA5">
        <w:rPr>
          <w:rFonts w:cs="Arial"/>
          <w:color w:val="000000"/>
          <w:szCs w:val="24"/>
          <w:lang w:val="en-US"/>
        </w:rPr>
        <w:t>In recent times, newly graduated doctors, pharmacists, physiotherapists, and medical laboratory scientists do not readily get accredited facilities to enable them do their internship. Some have to wait for as long as two years before they can get placement. In the heat of the frustration some are noted to have abandoned their professions altogether and looked for something else to do.</w:t>
      </w:r>
    </w:p>
    <w:tbl>
      <w:tblPr>
        <w:tblW w:w="0" w:type="auto"/>
        <w:tblBorders>
          <w:top w:val="nil"/>
          <w:left w:val="nil"/>
          <w:bottom w:val="nil"/>
          <w:right w:val="nil"/>
        </w:tblBorders>
        <w:tblLayout w:type="fixed"/>
        <w:tblLook w:val="0000"/>
      </w:tblPr>
      <w:tblGrid>
        <w:gridCol w:w="1022"/>
        <w:gridCol w:w="102"/>
        <w:gridCol w:w="1124"/>
        <w:gridCol w:w="560"/>
        <w:gridCol w:w="564"/>
        <w:gridCol w:w="516"/>
        <w:gridCol w:w="608"/>
        <w:gridCol w:w="652"/>
        <w:gridCol w:w="472"/>
        <w:gridCol w:w="968"/>
        <w:gridCol w:w="1170"/>
        <w:gridCol w:w="1080"/>
      </w:tblGrid>
      <w:tr w:rsidR="003E5AA5" w:rsidRPr="003E5AA5">
        <w:tblPrEx>
          <w:tblCellMar>
            <w:top w:w="0" w:type="dxa"/>
            <w:bottom w:w="0" w:type="dxa"/>
          </w:tblCellMar>
        </w:tblPrEx>
        <w:trPr>
          <w:gridAfter w:val="10"/>
          <w:wAfter w:w="7714" w:type="dxa"/>
          <w:trHeight w:val="152"/>
        </w:trPr>
        <w:tc>
          <w:tcPr>
            <w:tcW w:w="1124" w:type="dxa"/>
            <w:gridSpan w:val="2"/>
            <w:tcBorders>
              <w:bottom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Table 2.2 </w:t>
            </w:r>
          </w:p>
        </w:tc>
      </w:tr>
      <w:tr w:rsidR="003E5AA5" w:rsidRPr="003E5AA5" w:rsidTr="003E5AA5">
        <w:tblPrEx>
          <w:tblCellMar>
            <w:top w:w="0" w:type="dxa"/>
            <w:bottom w:w="0" w:type="dxa"/>
          </w:tblCellMar>
        </w:tblPrEx>
        <w:trPr>
          <w:trHeight w:val="247"/>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S/N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States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Medical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Nursing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Midwifery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Pharmacy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CHEWS </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Abia</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Adamawa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r>
      <w:tr w:rsidR="003E5AA5" w:rsidRPr="003E5AA5" w:rsidTr="003E5AA5">
        <w:tblPrEx>
          <w:tblCellMar>
            <w:top w:w="0" w:type="dxa"/>
            <w:bottom w:w="0" w:type="dxa"/>
          </w:tblCellMar>
        </w:tblPrEx>
        <w:trPr>
          <w:trHeight w:val="272"/>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Akwa</w:t>
            </w:r>
            <w:proofErr w:type="spellEnd"/>
            <w:r w:rsidRPr="003E5AA5">
              <w:rPr>
                <w:rFonts w:cs="Arial"/>
                <w:color w:val="000000"/>
                <w:szCs w:val="24"/>
                <w:lang w:val="en-US"/>
              </w:rPr>
              <w:t xml:space="preserve"> </w:t>
            </w:r>
            <w:proofErr w:type="spellStart"/>
            <w:r w:rsidRPr="003E5AA5">
              <w:rPr>
                <w:rFonts w:cs="Arial"/>
                <w:color w:val="000000"/>
                <w:szCs w:val="24"/>
                <w:lang w:val="en-US"/>
              </w:rPr>
              <w:t>Ibom</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Anambra</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Bauchi</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6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Bayelsa</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7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Benue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4</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8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Borno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9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C/ River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10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Delta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11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Ebonyi</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12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Edo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13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Ekiti</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14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Enugu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4</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15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F.C.T</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0</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16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Gombe</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17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Imo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18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Jigawa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19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Kaduna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4</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20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Kano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21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Katsina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3</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22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Kebbi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23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Kogi</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24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Kwara</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25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Lagos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26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Nasarawa</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27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Niger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28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Ogun</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29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Ondo</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30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Osun</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31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Oyo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lastRenderedPageBreak/>
              <w:t xml:space="preserve">32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Plateau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3</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33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River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34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Sokoto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2</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35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Taraba</w:t>
            </w:r>
            <w:proofErr w:type="spellEnd"/>
            <w:r w:rsidRPr="003E5AA5">
              <w:rPr>
                <w:rFonts w:cs="Arial"/>
                <w:color w:val="000000"/>
                <w:szCs w:val="24"/>
                <w:lang w:val="en-US"/>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36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Yobe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1</w:t>
            </w:r>
          </w:p>
        </w:tc>
      </w:tr>
      <w:tr w:rsidR="003E5AA5" w:rsidRPr="003E5AA5" w:rsidTr="003E5AA5">
        <w:tblPrEx>
          <w:tblCellMar>
            <w:top w:w="0" w:type="dxa"/>
            <w:bottom w:w="0" w:type="dxa"/>
          </w:tblCellMar>
        </w:tblPrEx>
        <w:trPr>
          <w:trHeight w:val="146"/>
        </w:trPr>
        <w:tc>
          <w:tcPr>
            <w:tcW w:w="1022"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37 </w:t>
            </w:r>
          </w:p>
        </w:tc>
        <w:tc>
          <w:tcPr>
            <w:tcW w:w="1786"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Zamfara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r>
      <w:tr w:rsidR="003E5AA5" w:rsidRPr="003E5AA5">
        <w:tblPrEx>
          <w:tblCellMar>
            <w:top w:w="0" w:type="dxa"/>
            <w:bottom w:w="0" w:type="dxa"/>
          </w:tblCellMar>
        </w:tblPrEx>
        <w:trPr>
          <w:gridAfter w:val="3"/>
          <w:wAfter w:w="3218" w:type="dxa"/>
          <w:trHeight w:val="152"/>
        </w:trPr>
        <w:tc>
          <w:tcPr>
            <w:tcW w:w="112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Total </w:t>
            </w:r>
          </w:p>
        </w:tc>
        <w:tc>
          <w:tcPr>
            <w:tcW w:w="1124"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23 </w:t>
            </w:r>
          </w:p>
        </w:tc>
        <w:tc>
          <w:tcPr>
            <w:tcW w:w="112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69 </w:t>
            </w:r>
          </w:p>
        </w:tc>
        <w:tc>
          <w:tcPr>
            <w:tcW w:w="112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62 </w:t>
            </w:r>
          </w:p>
        </w:tc>
        <w:tc>
          <w:tcPr>
            <w:tcW w:w="112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9 </w:t>
            </w:r>
          </w:p>
        </w:tc>
      </w:tr>
    </w:tbl>
    <w:p w:rsidR="006E36A3" w:rsidRPr="003E5AA5" w:rsidRDefault="006E36A3" w:rsidP="006E36A3">
      <w:pPr>
        <w:rPr>
          <w:rFonts w:cs="Arial"/>
          <w:color w:val="000000"/>
          <w:szCs w:val="24"/>
          <w:lang w:val="en-US"/>
        </w:rPr>
      </w:pPr>
    </w:p>
    <w:p w:rsidR="006E36A3" w:rsidRPr="003E5AA5" w:rsidRDefault="006E36A3" w:rsidP="006E36A3">
      <w:pPr>
        <w:rPr>
          <w:rFonts w:cs="Arial"/>
          <w:color w:val="000000"/>
          <w:szCs w:val="24"/>
          <w:lang w:val="en-US"/>
        </w:rPr>
      </w:pPr>
    </w:p>
    <w:p w:rsidR="006E36A3" w:rsidRPr="003E5AA5" w:rsidRDefault="006E36A3" w:rsidP="006E36A3">
      <w:pPr>
        <w:rPr>
          <w:rFonts w:cs="Arial"/>
          <w:color w:val="000000"/>
          <w:szCs w:val="24"/>
          <w:lang w:val="en-US"/>
        </w:rPr>
      </w:pPr>
    </w:p>
    <w:tbl>
      <w:tblPr>
        <w:tblW w:w="0" w:type="auto"/>
        <w:tblBorders>
          <w:top w:val="nil"/>
          <w:left w:val="nil"/>
          <w:bottom w:val="nil"/>
          <w:right w:val="nil"/>
        </w:tblBorders>
        <w:tblLayout w:type="fixed"/>
        <w:tblLook w:val="0000"/>
      </w:tblPr>
      <w:tblGrid>
        <w:gridCol w:w="558"/>
        <w:gridCol w:w="932"/>
        <w:gridCol w:w="114"/>
        <w:gridCol w:w="1376"/>
        <w:gridCol w:w="8"/>
        <w:gridCol w:w="720"/>
        <w:gridCol w:w="762"/>
        <w:gridCol w:w="318"/>
        <w:gridCol w:w="1080"/>
        <w:gridCol w:w="92"/>
        <w:gridCol w:w="898"/>
        <w:gridCol w:w="1260"/>
        <w:gridCol w:w="1170"/>
      </w:tblGrid>
      <w:tr w:rsidR="003E5AA5" w:rsidRPr="003E5AA5" w:rsidTr="003E5AA5">
        <w:tblPrEx>
          <w:tblCellMar>
            <w:top w:w="0" w:type="dxa"/>
            <w:bottom w:w="0" w:type="dxa"/>
          </w:tblCellMar>
        </w:tblPrEx>
        <w:trPr>
          <w:trHeight w:val="612"/>
        </w:trPr>
        <w:tc>
          <w:tcPr>
            <w:tcW w:w="558"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S/N </w:t>
            </w:r>
          </w:p>
        </w:tc>
        <w:tc>
          <w:tcPr>
            <w:tcW w:w="1046"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State </w:t>
            </w:r>
          </w:p>
        </w:tc>
        <w:tc>
          <w:tcPr>
            <w:tcW w:w="138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ind w:hanging="73"/>
              <w:jc w:val="both"/>
              <w:rPr>
                <w:rFonts w:cs="Arial"/>
                <w:color w:val="000000"/>
                <w:szCs w:val="24"/>
                <w:lang w:val="en-US"/>
              </w:rPr>
            </w:pPr>
            <w:r w:rsidRPr="003E5AA5">
              <w:rPr>
                <w:rFonts w:cs="Arial"/>
                <w:b/>
                <w:bCs/>
                <w:color w:val="000000"/>
                <w:szCs w:val="24"/>
                <w:lang w:val="en-US"/>
              </w:rPr>
              <w:t xml:space="preserve">Population </w:t>
            </w:r>
          </w:p>
        </w:tc>
        <w:tc>
          <w:tcPr>
            <w:tcW w:w="72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Doctors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Dentists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Nurses </w:t>
            </w:r>
          </w:p>
        </w:tc>
        <w:tc>
          <w:tcPr>
            <w:tcW w:w="9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Mid-wives </w:t>
            </w:r>
          </w:p>
        </w:tc>
        <w:tc>
          <w:tcPr>
            <w:tcW w:w="126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Med- Lab. </w:t>
            </w:r>
          </w:p>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Scientists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b/>
                <w:bCs/>
                <w:color w:val="000000"/>
                <w:szCs w:val="24"/>
                <w:lang w:val="en-US"/>
              </w:rPr>
              <w:t xml:space="preserve">Pharmacist </w:t>
            </w:r>
          </w:p>
        </w:tc>
      </w:tr>
      <w:tr w:rsidR="003E5AA5" w:rsidRPr="003E5AA5" w:rsidTr="003E5AA5">
        <w:tblPrEx>
          <w:tblCellMar>
            <w:top w:w="0" w:type="dxa"/>
            <w:bottom w:w="0" w:type="dxa"/>
          </w:tblCellMar>
        </w:tblPrEx>
        <w:trPr>
          <w:trHeight w:val="248"/>
        </w:trPr>
        <w:tc>
          <w:tcPr>
            <w:tcW w:w="558"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 </w:t>
            </w:r>
          </w:p>
        </w:tc>
        <w:tc>
          <w:tcPr>
            <w:tcW w:w="1046"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Abia</w:t>
            </w:r>
            <w:proofErr w:type="spellEnd"/>
            <w:r w:rsidRPr="003E5AA5">
              <w:rPr>
                <w:rFonts w:cs="Arial"/>
                <w:color w:val="000000"/>
                <w:szCs w:val="24"/>
                <w:lang w:val="en-US"/>
              </w:rPr>
              <w:t xml:space="preserve"> </w:t>
            </w:r>
          </w:p>
        </w:tc>
        <w:tc>
          <w:tcPr>
            <w:tcW w:w="138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2,963,275 </w:t>
            </w:r>
          </w:p>
        </w:tc>
        <w:tc>
          <w:tcPr>
            <w:tcW w:w="72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527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NA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1123 </w:t>
            </w:r>
          </w:p>
        </w:tc>
        <w:tc>
          <w:tcPr>
            <w:tcW w:w="9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NA </w:t>
            </w:r>
          </w:p>
        </w:tc>
        <w:tc>
          <w:tcPr>
            <w:tcW w:w="126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185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238 </w:t>
            </w:r>
          </w:p>
        </w:tc>
      </w:tr>
      <w:tr w:rsidR="003E5AA5" w:rsidRPr="003E5AA5" w:rsidTr="003E5AA5">
        <w:tblPrEx>
          <w:tblCellMar>
            <w:top w:w="0" w:type="dxa"/>
            <w:bottom w:w="0" w:type="dxa"/>
          </w:tblCellMar>
        </w:tblPrEx>
        <w:trPr>
          <w:trHeight w:val="248"/>
        </w:trPr>
        <w:tc>
          <w:tcPr>
            <w:tcW w:w="558"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 </w:t>
            </w:r>
          </w:p>
        </w:tc>
        <w:tc>
          <w:tcPr>
            <w:tcW w:w="1046"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Adamawa </w:t>
            </w:r>
          </w:p>
        </w:tc>
        <w:tc>
          <w:tcPr>
            <w:tcW w:w="138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3,254,227 </w:t>
            </w:r>
          </w:p>
        </w:tc>
        <w:tc>
          <w:tcPr>
            <w:tcW w:w="72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89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NA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882 </w:t>
            </w:r>
          </w:p>
        </w:tc>
        <w:tc>
          <w:tcPr>
            <w:tcW w:w="9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NA </w:t>
            </w:r>
          </w:p>
        </w:tc>
        <w:tc>
          <w:tcPr>
            <w:tcW w:w="126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9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116 </w:t>
            </w:r>
          </w:p>
        </w:tc>
      </w:tr>
      <w:tr w:rsidR="003E5AA5" w:rsidRPr="003E5AA5" w:rsidTr="003E5AA5">
        <w:tblPrEx>
          <w:tblCellMar>
            <w:top w:w="0" w:type="dxa"/>
            <w:bottom w:w="0" w:type="dxa"/>
          </w:tblCellMar>
        </w:tblPrEx>
        <w:trPr>
          <w:trHeight w:val="248"/>
        </w:trPr>
        <w:tc>
          <w:tcPr>
            <w:tcW w:w="558"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 </w:t>
            </w:r>
          </w:p>
        </w:tc>
        <w:tc>
          <w:tcPr>
            <w:tcW w:w="1046"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Akwa</w:t>
            </w:r>
            <w:proofErr w:type="spellEnd"/>
            <w:r w:rsidRPr="003E5AA5">
              <w:rPr>
                <w:rFonts w:cs="Arial"/>
                <w:color w:val="000000"/>
                <w:szCs w:val="24"/>
                <w:lang w:val="en-US"/>
              </w:rPr>
              <w:t xml:space="preserve"> </w:t>
            </w:r>
            <w:proofErr w:type="spellStart"/>
            <w:r w:rsidRPr="003E5AA5">
              <w:rPr>
                <w:rFonts w:cs="Arial"/>
                <w:color w:val="000000"/>
                <w:szCs w:val="24"/>
                <w:lang w:val="en-US"/>
              </w:rPr>
              <w:t>Ibom</w:t>
            </w:r>
            <w:proofErr w:type="spellEnd"/>
            <w:r w:rsidRPr="003E5AA5">
              <w:rPr>
                <w:rFonts w:cs="Arial"/>
                <w:color w:val="000000"/>
                <w:szCs w:val="24"/>
                <w:lang w:val="en-US"/>
              </w:rPr>
              <w:t xml:space="preserve"> </w:t>
            </w:r>
          </w:p>
        </w:tc>
        <w:tc>
          <w:tcPr>
            <w:tcW w:w="138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3,730,227 </w:t>
            </w:r>
          </w:p>
        </w:tc>
        <w:tc>
          <w:tcPr>
            <w:tcW w:w="72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321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NA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6528 </w:t>
            </w:r>
          </w:p>
        </w:tc>
        <w:tc>
          <w:tcPr>
            <w:tcW w:w="9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NA </w:t>
            </w:r>
          </w:p>
        </w:tc>
        <w:tc>
          <w:tcPr>
            <w:tcW w:w="126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122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142 </w:t>
            </w:r>
          </w:p>
        </w:tc>
      </w:tr>
      <w:tr w:rsidR="003E5AA5" w:rsidRPr="003E5AA5" w:rsidTr="003E5AA5">
        <w:tblPrEx>
          <w:tblCellMar>
            <w:top w:w="0" w:type="dxa"/>
            <w:bottom w:w="0" w:type="dxa"/>
          </w:tblCellMar>
        </w:tblPrEx>
        <w:trPr>
          <w:trHeight w:val="248"/>
        </w:trPr>
        <w:tc>
          <w:tcPr>
            <w:tcW w:w="558"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 </w:t>
            </w:r>
          </w:p>
        </w:tc>
        <w:tc>
          <w:tcPr>
            <w:tcW w:w="1046"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Anambra</w:t>
            </w:r>
            <w:proofErr w:type="spellEnd"/>
            <w:r w:rsidRPr="003E5AA5">
              <w:rPr>
                <w:rFonts w:cs="Arial"/>
                <w:color w:val="000000"/>
                <w:szCs w:val="24"/>
                <w:lang w:val="en-US"/>
              </w:rPr>
              <w:t xml:space="preserve"> </w:t>
            </w:r>
          </w:p>
        </w:tc>
        <w:tc>
          <w:tcPr>
            <w:tcW w:w="138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4,329,820 </w:t>
            </w:r>
          </w:p>
        </w:tc>
        <w:tc>
          <w:tcPr>
            <w:tcW w:w="72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669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6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1395 </w:t>
            </w:r>
          </w:p>
        </w:tc>
        <w:tc>
          <w:tcPr>
            <w:tcW w:w="9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240 </w:t>
            </w:r>
          </w:p>
        </w:tc>
        <w:tc>
          <w:tcPr>
            <w:tcW w:w="126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239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342 </w:t>
            </w:r>
          </w:p>
        </w:tc>
      </w:tr>
      <w:tr w:rsidR="003E5AA5" w:rsidRPr="003E5AA5" w:rsidTr="003E5AA5">
        <w:tblPrEx>
          <w:tblCellMar>
            <w:top w:w="0" w:type="dxa"/>
            <w:bottom w:w="0" w:type="dxa"/>
          </w:tblCellMar>
        </w:tblPrEx>
        <w:trPr>
          <w:trHeight w:val="133"/>
        </w:trPr>
        <w:tc>
          <w:tcPr>
            <w:tcW w:w="558"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 </w:t>
            </w:r>
          </w:p>
        </w:tc>
        <w:tc>
          <w:tcPr>
            <w:tcW w:w="1046"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Bauchi</w:t>
            </w:r>
            <w:proofErr w:type="spellEnd"/>
            <w:r w:rsidRPr="003E5AA5">
              <w:rPr>
                <w:rFonts w:cs="Arial"/>
                <w:color w:val="000000"/>
                <w:szCs w:val="24"/>
                <w:lang w:val="en-US"/>
              </w:rPr>
              <w:t xml:space="preserve"> </w:t>
            </w:r>
          </w:p>
        </w:tc>
        <w:tc>
          <w:tcPr>
            <w:tcW w:w="1384"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4,431,424 </w:t>
            </w:r>
          </w:p>
        </w:tc>
        <w:tc>
          <w:tcPr>
            <w:tcW w:w="72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110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5 </w:t>
            </w:r>
          </w:p>
        </w:tc>
        <w:tc>
          <w:tcPr>
            <w:tcW w:w="108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200 </w:t>
            </w:r>
          </w:p>
        </w:tc>
        <w:tc>
          <w:tcPr>
            <w:tcW w:w="9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330 </w:t>
            </w:r>
          </w:p>
        </w:tc>
        <w:tc>
          <w:tcPr>
            <w:tcW w:w="126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7 </w:t>
            </w:r>
          </w:p>
        </w:tc>
        <w:tc>
          <w:tcPr>
            <w:tcW w:w="1170" w:type="dxa"/>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73 </w:t>
            </w:r>
          </w:p>
        </w:tc>
      </w:tr>
      <w:tr w:rsidR="003E5AA5" w:rsidRPr="003E5AA5">
        <w:tblPrEx>
          <w:tblCellMar>
            <w:top w:w="0" w:type="dxa"/>
            <w:bottom w:w="0" w:type="dxa"/>
          </w:tblCellMar>
        </w:tblPrEx>
        <w:trPr>
          <w:gridAfter w:val="3"/>
          <w:wAfter w:w="3328" w:type="dxa"/>
          <w:trHeight w:val="133"/>
        </w:trPr>
        <w:tc>
          <w:tcPr>
            <w:tcW w:w="14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6 </w:t>
            </w:r>
          </w:p>
        </w:tc>
        <w:tc>
          <w:tcPr>
            <w:tcW w:w="1490" w:type="dxa"/>
            <w:gridSpan w:val="2"/>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proofErr w:type="spellStart"/>
            <w:r w:rsidRPr="003E5AA5">
              <w:rPr>
                <w:rFonts w:cs="Arial"/>
                <w:color w:val="000000"/>
                <w:szCs w:val="24"/>
                <w:lang w:val="en-US"/>
              </w:rPr>
              <w:t>Bayelsa</w:t>
            </w:r>
            <w:proofErr w:type="spellEnd"/>
            <w:r w:rsidRPr="003E5AA5">
              <w:rPr>
                <w:rFonts w:cs="Arial"/>
                <w:color w:val="000000"/>
                <w:szCs w:val="24"/>
                <w:lang w:val="en-US"/>
              </w:rPr>
              <w:t xml:space="preserve"> </w:t>
            </w:r>
          </w:p>
        </w:tc>
        <w:tc>
          <w:tcPr>
            <w:tcW w:w="1490"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1,737,020 </w:t>
            </w:r>
          </w:p>
        </w:tc>
        <w:tc>
          <w:tcPr>
            <w:tcW w:w="1490" w:type="dxa"/>
            <w:gridSpan w:val="3"/>
            <w:tcBorders>
              <w:top w:val="single" w:sz="4" w:space="0" w:color="000000"/>
              <w:left w:val="single" w:sz="4" w:space="0" w:color="000000"/>
              <w:bottom w:val="single" w:sz="4" w:space="0" w:color="000000"/>
              <w:right w:val="single" w:sz="4" w:space="0" w:color="000000"/>
            </w:tcBorders>
            <w:vAlign w:val="bottom"/>
          </w:tcPr>
          <w:p w:rsidR="003E5AA5" w:rsidRPr="003E5AA5" w:rsidRDefault="003E5AA5" w:rsidP="006E36A3">
            <w:pPr>
              <w:autoSpaceDE w:val="0"/>
              <w:autoSpaceDN w:val="0"/>
              <w:adjustRightInd w:val="0"/>
              <w:spacing w:after="0" w:line="240" w:lineRule="auto"/>
              <w:jc w:val="both"/>
              <w:rPr>
                <w:rFonts w:cs="Arial"/>
                <w:color w:val="000000"/>
                <w:szCs w:val="24"/>
                <w:lang w:val="en-US"/>
              </w:rPr>
            </w:pPr>
            <w:r w:rsidRPr="003E5AA5">
              <w:rPr>
                <w:rFonts w:cs="Arial"/>
                <w:color w:val="000000"/>
                <w:szCs w:val="24"/>
                <w:lang w:val="en-US"/>
              </w:rPr>
              <w:t xml:space="preserve">6 </w:t>
            </w:r>
          </w:p>
        </w:tc>
      </w:tr>
    </w:tbl>
    <w:p w:rsidR="006E36A3" w:rsidRPr="003E5AA5" w:rsidRDefault="006E36A3" w:rsidP="006E36A3">
      <w:pPr>
        <w:rPr>
          <w:rFonts w:cs="Arial"/>
          <w:color w:val="000000"/>
          <w:szCs w:val="24"/>
          <w:lang w:val="en-US"/>
        </w:rPr>
      </w:pPr>
    </w:p>
    <w:p w:rsidR="006E36A3" w:rsidRPr="003E5AA5" w:rsidRDefault="006E36A3" w:rsidP="006E36A3">
      <w:pPr>
        <w:rPr>
          <w:rFonts w:cs="Arial"/>
          <w:color w:val="000000"/>
          <w:szCs w:val="24"/>
          <w:lang w:val="en-US"/>
        </w:rPr>
      </w:pPr>
    </w:p>
    <w:p w:rsidR="006E36A3" w:rsidRPr="003E5AA5" w:rsidRDefault="006E36A3" w:rsidP="006E36A3">
      <w:pPr>
        <w:rPr>
          <w:rFonts w:cs="Arial"/>
          <w:color w:val="000000"/>
          <w:szCs w:val="24"/>
          <w:lang w:val="en-US"/>
        </w:rPr>
      </w:pPr>
    </w:p>
    <w:p w:rsidR="006E36A3" w:rsidRPr="003E5AA5" w:rsidRDefault="006E36A3" w:rsidP="006E36A3">
      <w:pPr>
        <w:rPr>
          <w:rFonts w:cs="Arial"/>
          <w:color w:val="000000"/>
          <w:szCs w:val="24"/>
          <w:lang w:val="en-US"/>
        </w:rPr>
      </w:pPr>
    </w:p>
    <w:p w:rsidR="006E36A3" w:rsidRPr="003E5AA5" w:rsidRDefault="006E36A3" w:rsidP="003E5AA5">
      <w:pPr>
        <w:autoSpaceDE w:val="0"/>
        <w:autoSpaceDN w:val="0"/>
        <w:adjustRightInd w:val="0"/>
        <w:spacing w:after="0" w:line="240" w:lineRule="auto"/>
        <w:jc w:val="both"/>
        <w:rPr>
          <w:rFonts w:cs="Arial"/>
          <w:szCs w:val="24"/>
          <w:lang w:val="en-US"/>
        </w:rPr>
      </w:pPr>
      <w:r w:rsidRPr="003E5AA5">
        <w:rPr>
          <w:rFonts w:cs="Arial"/>
          <w:color w:val="000000"/>
          <w:szCs w:val="24"/>
          <w:lang w:val="en-US"/>
        </w:rPr>
        <w:t xml:space="preserve">Records available in most states lump doctors and dentists together, as well as nurses and midwives. It does not bring out clearly the distribution and availability of some very essential cadres. In some states midwifery training is a requirement for employment into </w:t>
      </w:r>
      <w:r w:rsidRPr="003E5AA5">
        <w:rPr>
          <w:rFonts w:cs="Arial"/>
          <w:szCs w:val="24"/>
          <w:lang w:val="en-US"/>
        </w:rPr>
        <w:t xml:space="preserve">the public sector for all registered nurses. It is however difficult to differentiate between nurses who have had additional professional training in midwifery and are practicing as such from those who are still engaged in general nursing. There are very low numbers of some members of the medical care team such as radiographers and medical laboratory scientists in some states. The discontinuation of the diploma in radiography programme and the subsequent closure of schools are likely to worsen the situation if intakes into the degree </w:t>
      </w:r>
      <w:proofErr w:type="spellStart"/>
      <w:r w:rsidRPr="003E5AA5">
        <w:rPr>
          <w:rFonts w:cs="Arial"/>
          <w:szCs w:val="24"/>
          <w:lang w:val="en-US"/>
        </w:rPr>
        <w:t>programmes</w:t>
      </w:r>
      <w:proofErr w:type="spellEnd"/>
      <w:r w:rsidRPr="003E5AA5">
        <w:rPr>
          <w:rFonts w:cs="Arial"/>
          <w:szCs w:val="24"/>
          <w:lang w:val="en-US"/>
        </w:rPr>
        <w:t xml:space="preserve"> are not increased. </w:t>
      </w:r>
    </w:p>
    <w:p w:rsidR="006E36A3" w:rsidRPr="003E5AA5" w:rsidRDefault="006E36A3" w:rsidP="006E36A3">
      <w:pPr>
        <w:autoSpaceDE w:val="0"/>
        <w:autoSpaceDN w:val="0"/>
        <w:adjustRightInd w:val="0"/>
        <w:spacing w:after="0" w:line="240" w:lineRule="auto"/>
        <w:jc w:val="both"/>
        <w:rPr>
          <w:rFonts w:cs="Arial"/>
          <w:szCs w:val="24"/>
          <w:lang w:val="en-US"/>
        </w:rPr>
      </w:pPr>
      <w:r w:rsidRPr="003E5AA5">
        <w:rPr>
          <w:rFonts w:cs="Arial"/>
          <w:szCs w:val="24"/>
          <w:lang w:val="en-US"/>
        </w:rPr>
        <w:t xml:space="preserve">There is evidence of rural/urban disparities in the distribution of health staff. Some states are better endowed with health professionals than others. Some states are </w:t>
      </w:r>
      <w:r w:rsidRPr="003E5AA5">
        <w:rPr>
          <w:rFonts w:cs="Arial"/>
          <w:szCs w:val="24"/>
          <w:lang w:val="en-US"/>
        </w:rPr>
        <w:lastRenderedPageBreak/>
        <w:t xml:space="preserve">however noted for having rules and regulations that unfairly discriminate even against essential and critically needed health professionals that are not indigenes. </w:t>
      </w:r>
    </w:p>
    <w:p w:rsidR="006E36A3" w:rsidRPr="003E5AA5" w:rsidRDefault="006E36A3" w:rsidP="006E36A3">
      <w:pPr>
        <w:autoSpaceDE w:val="0"/>
        <w:autoSpaceDN w:val="0"/>
        <w:adjustRightInd w:val="0"/>
        <w:spacing w:after="0" w:line="240" w:lineRule="auto"/>
        <w:jc w:val="both"/>
        <w:rPr>
          <w:rFonts w:cs="Arial"/>
          <w:szCs w:val="24"/>
          <w:lang w:val="en-US"/>
        </w:rPr>
      </w:pPr>
      <w:r w:rsidRPr="003E5AA5">
        <w:rPr>
          <w:rFonts w:cs="Arial"/>
          <w:szCs w:val="24"/>
          <w:lang w:val="en-US"/>
        </w:rPr>
        <w:t xml:space="preserve">Processes and procedures for recruitment of health professionals tend to be cumbersome in many states. Remuneration packages for health professionals vary a great deal between federal and states and also among states. The result is that health professionals tend to gravitate into federal facilities and states where better remunerations are offered. Private providers (except faith based ones) mainly operate in urban settings where income levels are generally high and clients are perceived to have the ability to pay for services rendered. Resultantly there is poor access to qualified and competent health professionals for people living in rural and deprived areas that bear a greater portion of the disease burden. </w:t>
      </w:r>
    </w:p>
    <w:p w:rsidR="006E36A3" w:rsidRPr="003E5AA5" w:rsidRDefault="006E36A3" w:rsidP="006E36A3">
      <w:pPr>
        <w:rPr>
          <w:rFonts w:cs="Arial"/>
          <w:color w:val="000000"/>
          <w:szCs w:val="24"/>
          <w:lang w:val="en-US"/>
        </w:rPr>
      </w:pPr>
      <w:r w:rsidRPr="003E5AA5">
        <w:rPr>
          <w:rFonts w:cs="Arial"/>
          <w:szCs w:val="24"/>
          <w:lang w:val="en-US"/>
        </w:rPr>
        <w:t>15</w:t>
      </w:r>
    </w:p>
    <w:sectPr w:rsidR="006E36A3" w:rsidRPr="003E5AA5" w:rsidSect="00F8634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EE8" w:rsidRDefault="00321EE8" w:rsidP="003E5AA5">
      <w:pPr>
        <w:spacing w:after="0" w:line="240" w:lineRule="auto"/>
      </w:pPr>
      <w:r>
        <w:separator/>
      </w:r>
    </w:p>
  </w:endnote>
  <w:endnote w:type="continuationSeparator" w:id="0">
    <w:p w:rsidR="00321EE8" w:rsidRDefault="00321EE8" w:rsidP="003E5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EE8" w:rsidRDefault="00321EE8" w:rsidP="003E5AA5">
      <w:pPr>
        <w:spacing w:after="0" w:line="240" w:lineRule="auto"/>
      </w:pPr>
      <w:r>
        <w:separator/>
      </w:r>
    </w:p>
  </w:footnote>
  <w:footnote w:type="continuationSeparator" w:id="0">
    <w:p w:rsidR="00321EE8" w:rsidRDefault="00321EE8" w:rsidP="003E5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539"/>
      <w:docPartObj>
        <w:docPartGallery w:val="Page Numbers (Top of Page)"/>
        <w:docPartUnique/>
      </w:docPartObj>
    </w:sdtPr>
    <w:sdtContent>
      <w:p w:rsidR="003E5AA5" w:rsidRDefault="003E5AA5">
        <w:pPr>
          <w:pStyle w:val="Header"/>
          <w:jc w:val="right"/>
        </w:pPr>
        <w:fldSimple w:instr=" PAGE   \* MERGEFORMAT ">
          <w:r>
            <w:rPr>
              <w:noProof/>
            </w:rPr>
            <w:t>1</w:t>
          </w:r>
        </w:fldSimple>
      </w:p>
    </w:sdtContent>
  </w:sdt>
  <w:p w:rsidR="003E5AA5" w:rsidRDefault="003E5A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36A3"/>
    <w:rsid w:val="00321EE8"/>
    <w:rsid w:val="003E5AA5"/>
    <w:rsid w:val="006E36A3"/>
    <w:rsid w:val="00915275"/>
    <w:rsid w:val="00F86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46"/>
    <w:rPr>
      <w:lang w:val="en-GB"/>
    </w:rPr>
  </w:style>
  <w:style w:type="paragraph" w:styleId="Heading2">
    <w:name w:val="heading 2"/>
    <w:basedOn w:val="Default"/>
    <w:next w:val="Default"/>
    <w:link w:val="Heading2Char"/>
    <w:uiPriority w:val="99"/>
    <w:qFormat/>
    <w:rsid w:val="006E36A3"/>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6A3"/>
    <w:pPr>
      <w:autoSpaceDE w:val="0"/>
      <w:autoSpaceDN w:val="0"/>
      <w:adjustRightInd w:val="0"/>
      <w:spacing w:after="0" w:line="240" w:lineRule="auto"/>
    </w:pPr>
    <w:rPr>
      <w:rFonts w:cs="Arial"/>
      <w:color w:val="000000"/>
      <w:szCs w:val="24"/>
    </w:rPr>
  </w:style>
  <w:style w:type="character" w:customStyle="1" w:styleId="Heading2Char">
    <w:name w:val="Heading 2 Char"/>
    <w:basedOn w:val="DefaultParagraphFont"/>
    <w:link w:val="Heading2"/>
    <w:uiPriority w:val="99"/>
    <w:rsid w:val="006E36A3"/>
    <w:rPr>
      <w:rFonts w:cs="Arial"/>
      <w:szCs w:val="24"/>
    </w:rPr>
  </w:style>
  <w:style w:type="paragraph" w:styleId="BodyTextIndent">
    <w:name w:val="Body Text Indent"/>
    <w:basedOn w:val="Default"/>
    <w:next w:val="Default"/>
    <w:link w:val="BodyTextIndentChar"/>
    <w:uiPriority w:val="99"/>
    <w:rsid w:val="006E36A3"/>
    <w:rPr>
      <w:color w:val="auto"/>
    </w:rPr>
  </w:style>
  <w:style w:type="character" w:customStyle="1" w:styleId="BodyTextIndentChar">
    <w:name w:val="Body Text Indent Char"/>
    <w:basedOn w:val="DefaultParagraphFont"/>
    <w:link w:val="BodyTextIndent"/>
    <w:uiPriority w:val="99"/>
    <w:rsid w:val="006E36A3"/>
    <w:rPr>
      <w:rFonts w:cs="Arial"/>
      <w:szCs w:val="24"/>
    </w:rPr>
  </w:style>
  <w:style w:type="paragraph" w:styleId="Header">
    <w:name w:val="header"/>
    <w:basedOn w:val="Normal"/>
    <w:link w:val="HeaderChar"/>
    <w:uiPriority w:val="99"/>
    <w:unhideWhenUsed/>
    <w:rsid w:val="003E5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AA5"/>
    <w:rPr>
      <w:lang w:val="en-GB"/>
    </w:rPr>
  </w:style>
  <w:style w:type="paragraph" w:styleId="Footer">
    <w:name w:val="footer"/>
    <w:basedOn w:val="Normal"/>
    <w:link w:val="FooterChar"/>
    <w:uiPriority w:val="99"/>
    <w:semiHidden/>
    <w:unhideWhenUsed/>
    <w:rsid w:val="003E5A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5AA5"/>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Health</dc:creator>
  <cp:lastModifiedBy>Community Health</cp:lastModifiedBy>
  <cp:revision>1</cp:revision>
  <cp:lastPrinted>2012-06-13T09:59:00Z</cp:lastPrinted>
  <dcterms:created xsi:type="dcterms:W3CDTF">2012-06-13T09:43:00Z</dcterms:created>
  <dcterms:modified xsi:type="dcterms:W3CDTF">2012-06-13T09:59:00Z</dcterms:modified>
</cp:coreProperties>
</file>